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4DD2573" w14:textId="30564B3C" w:rsidR="00272FCF" w:rsidRPr="00B25FA9" w:rsidRDefault="00087C4C" w:rsidP="00943CFF">
      <w:pPr>
        <w:pStyle w:val="NoSpacing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C240E" wp14:editId="38FF7112">
                <wp:simplePos x="0" y="0"/>
                <wp:positionH relativeFrom="column">
                  <wp:posOffset>1844040</wp:posOffset>
                </wp:positionH>
                <wp:positionV relativeFrom="paragraph">
                  <wp:posOffset>-800100</wp:posOffset>
                </wp:positionV>
                <wp:extent cx="4625340" cy="7315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34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B07E7" w14:textId="77777777" w:rsidR="00087C4C" w:rsidRDefault="00087C4C" w:rsidP="00087C4C">
                            <w:pPr>
                              <w:pStyle w:val="NoSpacing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87C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Key links to the National 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urriculum</w:t>
                            </w:r>
                          </w:p>
                          <w:p w14:paraId="5A5A8DDB" w14:textId="504B145D" w:rsidR="00087C4C" w:rsidRPr="00087C4C" w:rsidRDefault="00087C4C" w:rsidP="00087C4C">
                            <w:pPr>
                              <w:pStyle w:val="NoSpacing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87C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for History</w:t>
                            </w:r>
                          </w:p>
                          <w:p w14:paraId="58EA236B" w14:textId="77777777" w:rsidR="00B25FA9" w:rsidRPr="00087C4C" w:rsidRDefault="00B25FA9" w:rsidP="00B25FA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5.2pt;margin-top:-63pt;width:364.2pt;height:57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" filled="f" stroked="f" strokeweight=".5pt">
                <v:textbox>
                  <w:txbxContent>
                    <w:p w14:paraId="455B07E7" w14:textId="77777777" w:rsidR="00087C4C" w:rsidRDefault="00087C4C" w:rsidP="00087C4C">
                      <w:pPr>
                        <w:pStyle w:val="NoSpacing"/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087C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Key links to the National 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urriculum</w:t>
                      </w:r>
                    </w:p>
                    <w:p w14:paraId="5A5A8DDB" w14:textId="504B145D" w:rsidR="00087C4C" w:rsidRPr="00087C4C" w:rsidRDefault="00087C4C" w:rsidP="00087C4C">
                      <w:pPr>
                        <w:pStyle w:val="NoSpacing"/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gramStart"/>
                      <w:r w:rsidRPr="00087C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for</w:t>
                      </w:r>
                      <w:proofErr w:type="gramEnd"/>
                      <w:r w:rsidRPr="00087C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History</w:t>
                      </w:r>
                    </w:p>
                    <w:p w14:paraId="58EA236B" w14:textId="77777777" w:rsidR="00B25FA9" w:rsidRPr="00087C4C" w:rsidRDefault="00B25FA9" w:rsidP="00B25FA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FA9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45A7A28" wp14:editId="7990F8BC">
            <wp:simplePos x="0" y="0"/>
            <wp:positionH relativeFrom="column">
              <wp:posOffset>-42545</wp:posOffset>
            </wp:positionH>
            <wp:positionV relativeFrom="paragraph">
              <wp:posOffset>175895</wp:posOffset>
            </wp:positionV>
            <wp:extent cx="1379220" cy="728345"/>
            <wp:effectExtent l="0" t="0" r="0" b="0"/>
            <wp:wrapTight wrapText="bothSides">
              <wp:wrapPolygon edited="0">
                <wp:start x="0" y="0"/>
                <wp:lineTo x="0" y="20903"/>
                <wp:lineTo x="21182" y="20903"/>
                <wp:lineTo x="2118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F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FF813" wp14:editId="0CBD8B83">
                <wp:simplePos x="0" y="0"/>
                <wp:positionH relativeFrom="column">
                  <wp:posOffset>1419225</wp:posOffset>
                </wp:positionH>
                <wp:positionV relativeFrom="paragraph">
                  <wp:posOffset>97790</wp:posOffset>
                </wp:positionV>
                <wp:extent cx="5116195" cy="889635"/>
                <wp:effectExtent l="0" t="0" r="8255" b="5715"/>
                <wp:wrapThrough wrapText="bothSides">
                  <wp:wrapPolygon edited="0">
                    <wp:start x="0" y="0"/>
                    <wp:lineTo x="0" y="21276"/>
                    <wp:lineTo x="21554" y="21276"/>
                    <wp:lineTo x="21554" y="0"/>
                    <wp:lineTo x="0" y="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6195" cy="889635"/>
                        </a:xfrm>
                        <a:prstGeom prst="rect">
                          <a:avLst/>
                        </a:prstGeom>
                        <a:solidFill>
                          <a:srgbClr val="6F6C86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1.75pt;margin-top:7.7pt;width:402.85pt;height: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" fillcolor="#6f6c86" stroked="f" strokeweight=".5pt">
                <v:path arrowok="t"/>
                <w10:wrap type="through"/>
              </v:rect>
            </w:pict>
          </mc:Fallback>
        </mc:AlternateContent>
      </w:r>
      <w:r w:rsidR="00B25F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97872" wp14:editId="30F5208B">
                <wp:simplePos x="0" y="0"/>
                <wp:positionH relativeFrom="column">
                  <wp:posOffset>-129540</wp:posOffset>
                </wp:positionH>
                <wp:positionV relativeFrom="paragraph">
                  <wp:posOffset>96520</wp:posOffset>
                </wp:positionV>
                <wp:extent cx="2084070" cy="890270"/>
                <wp:effectExtent l="0" t="0" r="0" b="5080"/>
                <wp:wrapThrough wrapText="bothSides">
                  <wp:wrapPolygon edited="0">
                    <wp:start x="0" y="0"/>
                    <wp:lineTo x="0" y="21261"/>
                    <wp:lineTo x="21324" y="21261"/>
                    <wp:lineTo x="21324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4070" cy="890270"/>
                        </a:xfrm>
                        <a:prstGeom prst="rect">
                          <a:avLst/>
                        </a:prstGeom>
                        <a:solidFill>
                          <a:srgbClr val="6F6C86">
                            <a:alpha val="15000"/>
                          </a:srgb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0.2pt;margin-top:7.6pt;width:164.1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" fillcolor="#6f6c86" stroked="f" strokeweight=".5pt">
                <v:fill opacity="9766f"/>
                <v:path arrowok="t"/>
                <w10:wrap type="through"/>
              </v:rect>
            </w:pict>
          </mc:Fallback>
        </mc:AlternateContent>
      </w:r>
    </w:p>
    <w:p w14:paraId="475845F6" w14:textId="4A04CA99" w:rsidR="00943CFF" w:rsidRPr="00087C4C" w:rsidRDefault="00943CFF" w:rsidP="00943CFF">
      <w:pPr>
        <w:pStyle w:val="NoSpacing"/>
        <w:rPr>
          <w:rFonts w:ascii="Arial" w:hAnsi="Arial" w:cs="Arial"/>
          <w:iCs/>
        </w:rPr>
      </w:pPr>
      <w:r w:rsidRPr="00087C4C">
        <w:rPr>
          <w:rFonts w:ascii="Arial" w:hAnsi="Arial" w:cs="Arial"/>
          <w:iCs/>
        </w:rPr>
        <w:t>The programmes of study in the current National Curriculum in England (NC) for history (DFE-00173-2013) are quite precise and explicit about the place and importance of local history.</w:t>
      </w:r>
    </w:p>
    <w:p w14:paraId="1119C820" w14:textId="42B8D029" w:rsidR="005717FD" w:rsidRPr="005B3B78" w:rsidRDefault="005717FD" w:rsidP="007F522B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37A26" w:rsidRPr="00087C4C" w14:paraId="12F7F6B8" w14:textId="5BB305AC" w:rsidTr="00337A26">
        <w:tc>
          <w:tcPr>
            <w:tcW w:w="10485" w:type="dxa"/>
          </w:tcPr>
          <w:p w14:paraId="1C4CC19C" w14:textId="77777777" w:rsidR="004A3140" w:rsidRPr="005B3B78" w:rsidRDefault="004A3140" w:rsidP="000A25F8">
            <w:pPr>
              <w:pStyle w:val="NoSpacing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28935DB" w14:textId="63AF6F7B" w:rsidR="00337A26" w:rsidRPr="00087C4C" w:rsidRDefault="00337A26" w:rsidP="000A25F8">
            <w:pPr>
              <w:pStyle w:val="NoSpacing"/>
              <w:rPr>
                <w:rFonts w:ascii="Arial" w:hAnsi="Arial" w:cs="Arial"/>
              </w:rPr>
            </w:pPr>
            <w:r w:rsidRPr="00087C4C">
              <w:rPr>
                <w:rFonts w:ascii="Arial" w:hAnsi="Arial" w:cs="Arial"/>
                <w:b/>
                <w:bCs/>
              </w:rPr>
              <w:t>One of the six aims for history is that it should ensure that all pupils</w:t>
            </w:r>
            <w:r w:rsidRPr="00087C4C">
              <w:rPr>
                <w:rFonts w:ascii="Arial" w:hAnsi="Arial" w:cs="Arial"/>
              </w:rPr>
              <w:t>:</w:t>
            </w:r>
          </w:p>
          <w:p w14:paraId="34E3D64B" w14:textId="22D65102" w:rsidR="00337A26" w:rsidRPr="00087C4C" w:rsidRDefault="00337A26" w:rsidP="00501D79">
            <w:pPr>
              <w:pStyle w:val="NoSpacing"/>
              <w:rPr>
                <w:rFonts w:ascii="Arial" w:hAnsi="Arial" w:cs="Arial"/>
                <w:iCs/>
              </w:rPr>
            </w:pPr>
            <w:r w:rsidRPr="00087C4C">
              <w:rPr>
                <w:rFonts w:ascii="Arial" w:hAnsi="Arial" w:cs="Arial"/>
                <w:iCs/>
              </w:rPr>
              <w:t>gain historical perspective by placing their growing knowledge into different contexts, understanding the connections between local, regional, national and international history; between cultural, economic, military, political, religious and social history; and between short – and long-term timescales</w:t>
            </w:r>
            <w:r w:rsidR="004A3140">
              <w:rPr>
                <w:rFonts w:ascii="Arial" w:hAnsi="Arial" w:cs="Arial"/>
                <w:iCs/>
              </w:rPr>
              <w:t>.</w:t>
            </w:r>
          </w:p>
          <w:p w14:paraId="06EED1EC" w14:textId="1A4514EB" w:rsidR="00337A26" w:rsidRPr="005B3B78" w:rsidRDefault="00337A26" w:rsidP="007F522B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7169900" w14:textId="250206AD" w:rsidR="005717FD" w:rsidRPr="005B3B78" w:rsidRDefault="005717FD" w:rsidP="007F522B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8"/>
      </w:tblGrid>
      <w:tr w:rsidR="00337A26" w:rsidRPr="00B25FA9" w14:paraId="46DBB933" w14:textId="77777777" w:rsidTr="00337A26">
        <w:tc>
          <w:tcPr>
            <w:tcW w:w="10456" w:type="dxa"/>
          </w:tcPr>
          <w:p w14:paraId="7398C573" w14:textId="489B3E9B" w:rsidR="00337A26" w:rsidRPr="00B25FA9" w:rsidRDefault="00337A26" w:rsidP="00337A26">
            <w:pPr>
              <w:pStyle w:val="NoSpacing"/>
              <w:jc w:val="center"/>
              <w:rPr>
                <w:rFonts w:ascii="Arial" w:hAnsi="Arial" w:cs="Arial"/>
              </w:rPr>
            </w:pPr>
            <w:r w:rsidRPr="00B25FA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F7C8004" wp14:editId="679E1A57">
                  <wp:extent cx="6535420" cy="3124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1" t="13112" b="12911"/>
                          <a:stretch/>
                        </pic:blipFill>
                        <pic:spPr bwMode="auto">
                          <a:xfrm>
                            <a:off x="0" y="0"/>
                            <a:ext cx="6681324" cy="3193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74E6D9" w14:textId="77777777" w:rsidR="00337A26" w:rsidRPr="005B3B78" w:rsidRDefault="00337A26" w:rsidP="007F522B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1D79" w:rsidRPr="00B25FA9" w14:paraId="53C47FF1" w14:textId="77777777" w:rsidTr="005B3B78">
        <w:tc>
          <w:tcPr>
            <w:tcW w:w="10456" w:type="dxa"/>
            <w:shd w:val="clear" w:color="auto" w:fill="99BF71"/>
          </w:tcPr>
          <w:p w14:paraId="13F5B243" w14:textId="16969C4C" w:rsidR="00501D79" w:rsidRPr="00B25FA9" w:rsidRDefault="00501D79" w:rsidP="00817074">
            <w:pPr>
              <w:pStyle w:val="NoSpacing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B25FA9">
              <w:rPr>
                <w:rFonts w:ascii="Arial" w:hAnsi="Arial" w:cs="Arial"/>
                <w:b/>
                <w:bCs/>
              </w:rPr>
              <w:t>Key Stage 1</w:t>
            </w:r>
          </w:p>
        </w:tc>
      </w:tr>
      <w:tr w:rsidR="00501D79" w:rsidRPr="00B25FA9" w14:paraId="5A2F8DC4" w14:textId="77777777" w:rsidTr="00501D79">
        <w:tc>
          <w:tcPr>
            <w:tcW w:w="10456" w:type="dxa"/>
          </w:tcPr>
          <w:p w14:paraId="5F7B3717" w14:textId="77777777" w:rsidR="00667338" w:rsidRPr="005B3B78" w:rsidRDefault="00667338" w:rsidP="00501D79">
            <w:pPr>
              <w:pStyle w:val="NoSpacing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4257ED4" w14:textId="6C89046A" w:rsidR="00B36D1E" w:rsidRPr="00087C4C" w:rsidRDefault="00501D79" w:rsidP="00501D79">
            <w:pPr>
              <w:pStyle w:val="NoSpacing"/>
              <w:rPr>
                <w:rFonts w:ascii="Arial" w:hAnsi="Arial" w:cs="Arial"/>
              </w:rPr>
            </w:pPr>
            <w:r w:rsidRPr="00087C4C">
              <w:rPr>
                <w:rFonts w:ascii="Arial" w:hAnsi="Arial" w:cs="Arial"/>
                <w:b/>
                <w:bCs/>
              </w:rPr>
              <w:t>Preamble</w:t>
            </w:r>
            <w:r w:rsidRPr="00087C4C">
              <w:rPr>
                <w:rFonts w:ascii="Arial" w:hAnsi="Arial" w:cs="Arial"/>
              </w:rPr>
              <w:t>: although the preamble is not explicit about the study of local history, it is clear that</w:t>
            </w:r>
            <w:r w:rsidR="00B131F3" w:rsidRPr="00087C4C">
              <w:rPr>
                <w:rFonts w:ascii="Arial" w:hAnsi="Arial" w:cs="Arial"/>
              </w:rPr>
              <w:t xml:space="preserve"> </w:t>
            </w:r>
            <w:r w:rsidRPr="00087C4C">
              <w:rPr>
                <w:rFonts w:ascii="Arial" w:hAnsi="Arial" w:cs="Arial"/>
              </w:rPr>
              <w:t>local history can make a significant contribution to achieving the points mentioned, namely:</w:t>
            </w:r>
            <w:r w:rsidR="00B131F3" w:rsidRPr="00087C4C">
              <w:rPr>
                <w:rFonts w:ascii="Arial" w:hAnsi="Arial" w:cs="Arial"/>
              </w:rPr>
              <w:t xml:space="preserve"> </w:t>
            </w:r>
          </w:p>
          <w:p w14:paraId="65E2ED33" w14:textId="22B6049C" w:rsidR="00501D79" w:rsidRPr="00087C4C" w:rsidRDefault="00B36D1E" w:rsidP="00501D79">
            <w:pPr>
              <w:pStyle w:val="NoSpacing"/>
              <w:rPr>
                <w:rFonts w:ascii="Arial" w:hAnsi="Arial" w:cs="Arial"/>
                <w:iCs/>
              </w:rPr>
            </w:pPr>
            <w:r w:rsidRPr="00087C4C">
              <w:rPr>
                <w:rFonts w:ascii="Arial" w:hAnsi="Arial" w:cs="Arial"/>
                <w:iCs/>
              </w:rPr>
              <w:t>p</w:t>
            </w:r>
            <w:r w:rsidR="00501D79" w:rsidRPr="00087C4C">
              <w:rPr>
                <w:rFonts w:ascii="Arial" w:hAnsi="Arial" w:cs="Arial"/>
                <w:iCs/>
              </w:rPr>
              <w:t>upils should develop an awareness of the past, using common words and phrases relating</w:t>
            </w:r>
            <w:r w:rsidR="00B131F3" w:rsidRPr="00087C4C">
              <w:rPr>
                <w:rFonts w:ascii="Arial" w:hAnsi="Arial" w:cs="Arial"/>
                <w:iCs/>
              </w:rPr>
              <w:t xml:space="preserve"> </w:t>
            </w:r>
            <w:r w:rsidR="00501D79" w:rsidRPr="00087C4C">
              <w:rPr>
                <w:rFonts w:ascii="Arial" w:hAnsi="Arial" w:cs="Arial"/>
                <w:iCs/>
              </w:rPr>
              <w:t>to the passing of time. They should know where the people and events they study fit within a</w:t>
            </w:r>
            <w:r w:rsidR="00BF41FB" w:rsidRPr="00087C4C">
              <w:rPr>
                <w:rFonts w:ascii="Arial" w:hAnsi="Arial" w:cs="Arial"/>
                <w:iCs/>
              </w:rPr>
              <w:t xml:space="preserve"> </w:t>
            </w:r>
            <w:r w:rsidR="00501D79" w:rsidRPr="00087C4C">
              <w:rPr>
                <w:rFonts w:ascii="Arial" w:hAnsi="Arial" w:cs="Arial"/>
                <w:iCs/>
              </w:rPr>
              <w:t>chronological framework and identify similarities and differences between ways of life in different</w:t>
            </w:r>
            <w:r w:rsidR="00B131F3" w:rsidRPr="00087C4C">
              <w:rPr>
                <w:rFonts w:ascii="Arial" w:hAnsi="Arial" w:cs="Arial"/>
                <w:iCs/>
              </w:rPr>
              <w:t xml:space="preserve"> </w:t>
            </w:r>
            <w:r w:rsidR="00501D79" w:rsidRPr="00087C4C">
              <w:rPr>
                <w:rFonts w:ascii="Arial" w:hAnsi="Arial" w:cs="Arial"/>
                <w:iCs/>
              </w:rPr>
              <w:t>periods. They should use a wide vocabulary of everyday historical terms. They should ask and</w:t>
            </w:r>
            <w:r w:rsidR="00B131F3" w:rsidRPr="00087C4C">
              <w:rPr>
                <w:rFonts w:ascii="Arial" w:hAnsi="Arial" w:cs="Arial"/>
                <w:iCs/>
              </w:rPr>
              <w:t xml:space="preserve"> </w:t>
            </w:r>
            <w:r w:rsidR="00501D79" w:rsidRPr="00087C4C">
              <w:rPr>
                <w:rFonts w:ascii="Arial" w:hAnsi="Arial" w:cs="Arial"/>
                <w:iCs/>
              </w:rPr>
              <w:t>answer questions, choosing and using parts of stories and other sources to show that they know</w:t>
            </w:r>
            <w:r w:rsidR="00B131F3" w:rsidRPr="00087C4C">
              <w:rPr>
                <w:rFonts w:ascii="Arial" w:hAnsi="Arial" w:cs="Arial"/>
                <w:iCs/>
              </w:rPr>
              <w:t xml:space="preserve"> </w:t>
            </w:r>
            <w:r w:rsidR="00501D79" w:rsidRPr="00087C4C">
              <w:rPr>
                <w:rFonts w:ascii="Arial" w:hAnsi="Arial" w:cs="Arial"/>
                <w:iCs/>
              </w:rPr>
              <w:t>and understand key features of events. They should understand some of the ways in which we find</w:t>
            </w:r>
            <w:r w:rsidR="00B131F3" w:rsidRPr="00087C4C">
              <w:rPr>
                <w:rFonts w:ascii="Arial" w:hAnsi="Arial" w:cs="Arial"/>
                <w:iCs/>
              </w:rPr>
              <w:t xml:space="preserve"> </w:t>
            </w:r>
            <w:r w:rsidR="00501D79" w:rsidRPr="00087C4C">
              <w:rPr>
                <w:rFonts w:ascii="Arial" w:hAnsi="Arial" w:cs="Arial"/>
                <w:iCs/>
              </w:rPr>
              <w:t>out about the past and identify different ways in which it is represented.</w:t>
            </w:r>
          </w:p>
          <w:p w14:paraId="3FD3C060" w14:textId="77777777" w:rsidR="00B131F3" w:rsidRPr="00087C4C" w:rsidRDefault="00B131F3" w:rsidP="00501D79">
            <w:pPr>
              <w:pStyle w:val="NoSpacing"/>
              <w:rPr>
                <w:rFonts w:ascii="Arial" w:hAnsi="Arial" w:cs="Arial"/>
              </w:rPr>
            </w:pPr>
          </w:p>
          <w:p w14:paraId="4DB2B1D1" w14:textId="3CCDD792" w:rsidR="00501D79" w:rsidRPr="00087C4C" w:rsidRDefault="00501D79" w:rsidP="00501D79">
            <w:pPr>
              <w:pStyle w:val="NoSpacing"/>
              <w:rPr>
                <w:rFonts w:ascii="Arial" w:hAnsi="Arial" w:cs="Arial"/>
              </w:rPr>
            </w:pPr>
            <w:r w:rsidRPr="00087C4C">
              <w:rPr>
                <w:rFonts w:ascii="Arial" w:hAnsi="Arial" w:cs="Arial"/>
                <w:b/>
                <w:bCs/>
              </w:rPr>
              <w:t>Subject content</w:t>
            </w:r>
            <w:r w:rsidRPr="00087C4C">
              <w:rPr>
                <w:rFonts w:ascii="Arial" w:hAnsi="Arial" w:cs="Arial"/>
              </w:rPr>
              <w:t>: at KS1, the subject content is organised into four bullet points. The last one</w:t>
            </w:r>
          </w:p>
          <w:p w14:paraId="0507CF16" w14:textId="364D46CD" w:rsidR="00501D79" w:rsidRPr="00087C4C" w:rsidRDefault="00501D79" w:rsidP="00501D79">
            <w:pPr>
              <w:pStyle w:val="NoSpacing"/>
              <w:rPr>
                <w:rFonts w:ascii="Arial" w:hAnsi="Arial" w:cs="Arial"/>
              </w:rPr>
            </w:pPr>
            <w:r w:rsidRPr="00087C4C">
              <w:rPr>
                <w:rFonts w:ascii="Arial" w:hAnsi="Arial" w:cs="Arial"/>
              </w:rPr>
              <w:t xml:space="preserve">states that pupils should be taught about </w:t>
            </w:r>
            <w:r w:rsidRPr="00087C4C">
              <w:rPr>
                <w:rFonts w:ascii="Arial" w:hAnsi="Arial" w:cs="Arial"/>
                <w:iCs/>
              </w:rPr>
              <w:t>‘significant historical events, people and places in their</w:t>
            </w:r>
            <w:r w:rsidR="00B131F3" w:rsidRPr="00087C4C">
              <w:rPr>
                <w:rFonts w:ascii="Arial" w:hAnsi="Arial" w:cs="Arial"/>
                <w:iCs/>
              </w:rPr>
              <w:t xml:space="preserve"> </w:t>
            </w:r>
            <w:r w:rsidRPr="00087C4C">
              <w:rPr>
                <w:rFonts w:ascii="Arial" w:hAnsi="Arial" w:cs="Arial"/>
                <w:iCs/>
              </w:rPr>
              <w:t>own locality’</w:t>
            </w:r>
            <w:r w:rsidRPr="00087C4C">
              <w:rPr>
                <w:rFonts w:ascii="Arial" w:hAnsi="Arial" w:cs="Arial"/>
              </w:rPr>
              <w:t>.</w:t>
            </w:r>
          </w:p>
          <w:p w14:paraId="4DA1FF7D" w14:textId="77777777" w:rsidR="00B131F3" w:rsidRPr="00087C4C" w:rsidRDefault="00B131F3" w:rsidP="00501D79">
            <w:pPr>
              <w:pStyle w:val="NoSpacing"/>
              <w:rPr>
                <w:rFonts w:ascii="Arial" w:hAnsi="Arial" w:cs="Arial"/>
              </w:rPr>
            </w:pPr>
          </w:p>
          <w:p w14:paraId="72EB4EE3" w14:textId="77777777" w:rsidR="00501D79" w:rsidRPr="00B25FA9" w:rsidRDefault="00501D79" w:rsidP="00501D79">
            <w:pPr>
              <w:pStyle w:val="NoSpacing"/>
              <w:rPr>
                <w:rFonts w:ascii="Arial" w:hAnsi="Arial" w:cs="Arial"/>
              </w:rPr>
            </w:pPr>
            <w:r w:rsidRPr="00B25FA9">
              <w:rPr>
                <w:rFonts w:ascii="Arial" w:hAnsi="Arial" w:cs="Arial"/>
                <w:b/>
                <w:bCs/>
              </w:rPr>
              <w:t>Implications</w:t>
            </w:r>
            <w:r w:rsidRPr="00B25FA9">
              <w:rPr>
                <w:rFonts w:ascii="Arial" w:hAnsi="Arial" w:cs="Arial"/>
              </w:rPr>
              <w:t>: this means that all pupils must study aspects of local history in KS1.</w:t>
            </w:r>
          </w:p>
          <w:p w14:paraId="346D24F5" w14:textId="5AD33028" w:rsidR="00B131F3" w:rsidRPr="005B3B78" w:rsidRDefault="00B131F3" w:rsidP="00501D79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BDE1580" w14:textId="5AE5FEDB" w:rsidR="005717FD" w:rsidRPr="00B25FA9" w:rsidRDefault="005717FD" w:rsidP="007F522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115D" w:rsidRPr="00B25FA9" w14:paraId="73C77934" w14:textId="77777777" w:rsidTr="005B3B78">
        <w:tc>
          <w:tcPr>
            <w:tcW w:w="10456" w:type="dxa"/>
            <w:shd w:val="clear" w:color="auto" w:fill="99BF71"/>
          </w:tcPr>
          <w:p w14:paraId="702C6FBC" w14:textId="677B833F" w:rsidR="00AB115D" w:rsidRPr="00B25FA9" w:rsidRDefault="00AB115D" w:rsidP="00817074">
            <w:pPr>
              <w:pStyle w:val="NoSpacing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B25FA9">
              <w:rPr>
                <w:rFonts w:ascii="Arial" w:hAnsi="Arial" w:cs="Arial"/>
                <w:b/>
                <w:bCs/>
              </w:rPr>
              <w:t>Key Stage 2</w:t>
            </w:r>
          </w:p>
        </w:tc>
      </w:tr>
      <w:tr w:rsidR="00AB115D" w:rsidRPr="0008676E" w14:paraId="78014980" w14:textId="77777777" w:rsidTr="00AB115D">
        <w:tc>
          <w:tcPr>
            <w:tcW w:w="10456" w:type="dxa"/>
          </w:tcPr>
          <w:p w14:paraId="546A51C8" w14:textId="77777777" w:rsidR="00667338" w:rsidRPr="005B3B78" w:rsidRDefault="00667338" w:rsidP="00AB115D">
            <w:pPr>
              <w:pStyle w:val="NoSpacing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44518BD" w14:textId="14FD4C71" w:rsidR="00AB115D" w:rsidRPr="0008676E" w:rsidRDefault="00AB115D" w:rsidP="00AB115D">
            <w:pPr>
              <w:pStyle w:val="NoSpacing"/>
              <w:rPr>
                <w:rFonts w:ascii="Arial" w:hAnsi="Arial" w:cs="Arial"/>
              </w:rPr>
            </w:pPr>
            <w:r w:rsidRPr="0008676E">
              <w:rPr>
                <w:rFonts w:ascii="Arial" w:hAnsi="Arial" w:cs="Arial"/>
                <w:b/>
                <w:bCs/>
              </w:rPr>
              <w:t>Preamble:</w:t>
            </w:r>
            <w:r w:rsidRPr="0008676E">
              <w:rPr>
                <w:rFonts w:ascii="Arial" w:hAnsi="Arial" w:cs="Arial"/>
              </w:rPr>
              <w:t xml:space="preserve"> the preamble to the subject content at KS2 is explicit on local history. It notes that</w:t>
            </w:r>
            <w:r w:rsidR="0004435D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‘</w:t>
            </w:r>
            <w:r w:rsidRPr="0008676E">
              <w:rPr>
                <w:rFonts w:ascii="Arial" w:hAnsi="Arial" w:cs="Arial"/>
                <w:iCs/>
              </w:rPr>
              <w:t>pupils should continue to develop a chronologically secure knowledge and understanding of</w:t>
            </w:r>
            <w:r w:rsidR="0004435D" w:rsidRPr="0008676E">
              <w:rPr>
                <w:rFonts w:ascii="Arial" w:hAnsi="Arial" w:cs="Arial"/>
                <w:iCs/>
              </w:rPr>
              <w:t xml:space="preserve"> </w:t>
            </w:r>
            <w:r w:rsidRPr="0008676E">
              <w:rPr>
                <w:rFonts w:ascii="Arial" w:hAnsi="Arial" w:cs="Arial"/>
                <w:iCs/>
              </w:rPr>
              <w:t>British, local and world history, establishing clear narratives within and across the periods they</w:t>
            </w:r>
            <w:r w:rsidR="0004435D" w:rsidRPr="0008676E">
              <w:rPr>
                <w:rFonts w:ascii="Arial" w:hAnsi="Arial" w:cs="Arial"/>
                <w:iCs/>
              </w:rPr>
              <w:t xml:space="preserve"> </w:t>
            </w:r>
            <w:r w:rsidRPr="0008676E">
              <w:rPr>
                <w:rFonts w:ascii="Arial" w:hAnsi="Arial" w:cs="Arial"/>
                <w:iCs/>
              </w:rPr>
              <w:t>study’</w:t>
            </w:r>
            <w:r w:rsidRPr="0008676E">
              <w:rPr>
                <w:rFonts w:ascii="Arial" w:hAnsi="Arial" w:cs="Arial"/>
              </w:rPr>
              <w:t xml:space="preserve"> and that teachers should ensure progression through teaching the British, local and</w:t>
            </w:r>
            <w:r w:rsidR="0004435D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world history.</w:t>
            </w:r>
          </w:p>
          <w:p w14:paraId="4B9A932D" w14:textId="20AFF334" w:rsidR="00AB115D" w:rsidRPr="0008676E" w:rsidRDefault="00AB115D" w:rsidP="00AB115D">
            <w:pPr>
              <w:pStyle w:val="NoSpacing"/>
              <w:rPr>
                <w:rFonts w:ascii="Arial" w:hAnsi="Arial" w:cs="Arial"/>
              </w:rPr>
            </w:pPr>
            <w:r w:rsidRPr="0008676E">
              <w:rPr>
                <w:rFonts w:ascii="Arial" w:hAnsi="Arial" w:cs="Arial"/>
                <w:b/>
                <w:bCs/>
              </w:rPr>
              <w:lastRenderedPageBreak/>
              <w:t>Subject content</w:t>
            </w:r>
            <w:r w:rsidRPr="0008676E">
              <w:rPr>
                <w:rFonts w:ascii="Arial" w:hAnsi="Arial" w:cs="Arial"/>
              </w:rPr>
              <w:t>: at KS2, the content is organised into nine bullet points. The first four focus on</w:t>
            </w:r>
            <w:r w:rsidR="0004435D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the British history to be taught from the earliest times to 1066, one looks at a study of an aspect or</w:t>
            </w:r>
            <w:r w:rsidR="0004435D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theme in British history that extends pupils’ chronological knowledge beyond 1066, and three are</w:t>
            </w:r>
            <w:r w:rsidR="0004435D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concerned with world history. There is one bullet point exclusively focused on local history. The</w:t>
            </w:r>
            <w:r w:rsidR="0004435D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NC notes that pupils should be taught ‘a local history study’.</w:t>
            </w:r>
            <w:r w:rsidR="008A5374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This requirement is followed by three examples, each of which is non-statutory. The three</w:t>
            </w:r>
            <w:r w:rsidR="008A5374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suggestions are:</w:t>
            </w:r>
          </w:p>
          <w:p w14:paraId="040D045C" w14:textId="172DBD76" w:rsidR="00AB115D" w:rsidRPr="0008676E" w:rsidRDefault="00AB115D" w:rsidP="00267AA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iCs/>
              </w:rPr>
            </w:pPr>
            <w:r w:rsidRPr="0008676E">
              <w:rPr>
                <w:rFonts w:ascii="Arial" w:hAnsi="Arial" w:cs="Arial"/>
                <w:iCs/>
              </w:rPr>
              <w:t>a depth study linked to one of the British areas of study listed in the curriculum</w:t>
            </w:r>
          </w:p>
          <w:p w14:paraId="2A39E405" w14:textId="0536F081" w:rsidR="00AB115D" w:rsidRPr="0008676E" w:rsidRDefault="00AB115D" w:rsidP="00267AA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iCs/>
              </w:rPr>
            </w:pPr>
            <w:r w:rsidRPr="0008676E">
              <w:rPr>
                <w:rFonts w:ascii="Arial" w:hAnsi="Arial" w:cs="Arial"/>
                <w:iCs/>
              </w:rPr>
              <w:t>a study over time tracing how several aspects of national history are reflected in the locality</w:t>
            </w:r>
            <w:r w:rsidR="00267AA1" w:rsidRPr="0008676E">
              <w:rPr>
                <w:rFonts w:ascii="Arial" w:hAnsi="Arial" w:cs="Arial"/>
                <w:iCs/>
              </w:rPr>
              <w:t xml:space="preserve"> </w:t>
            </w:r>
            <w:r w:rsidRPr="0008676E">
              <w:rPr>
                <w:rFonts w:ascii="Arial" w:hAnsi="Arial" w:cs="Arial"/>
                <w:iCs/>
              </w:rPr>
              <w:t>(this can go beyond 1066)</w:t>
            </w:r>
          </w:p>
          <w:p w14:paraId="70F71859" w14:textId="437AC7D5" w:rsidR="00AB115D" w:rsidRPr="0008676E" w:rsidRDefault="00AB115D" w:rsidP="00267AA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iCs/>
              </w:rPr>
            </w:pPr>
            <w:r w:rsidRPr="0008676E">
              <w:rPr>
                <w:rFonts w:ascii="Arial" w:hAnsi="Arial" w:cs="Arial"/>
                <w:iCs/>
              </w:rPr>
              <w:t>a study of an aspect of history or a site dating from a period beyond 1066 that is significant</w:t>
            </w:r>
            <w:r w:rsidR="00267AA1" w:rsidRPr="0008676E">
              <w:rPr>
                <w:rFonts w:ascii="Arial" w:hAnsi="Arial" w:cs="Arial"/>
                <w:iCs/>
              </w:rPr>
              <w:t xml:space="preserve"> </w:t>
            </w:r>
            <w:r w:rsidRPr="0008676E">
              <w:rPr>
                <w:rFonts w:ascii="Arial" w:hAnsi="Arial" w:cs="Arial"/>
                <w:iCs/>
              </w:rPr>
              <w:t>in the local</w:t>
            </w:r>
            <w:r w:rsidR="0008676E">
              <w:rPr>
                <w:rFonts w:ascii="Arial" w:hAnsi="Arial" w:cs="Arial"/>
                <w:iCs/>
              </w:rPr>
              <w:t>ity</w:t>
            </w:r>
          </w:p>
          <w:p w14:paraId="1008FE30" w14:textId="77777777" w:rsidR="008A5374" w:rsidRPr="0008676E" w:rsidRDefault="008A5374" w:rsidP="00AB115D">
            <w:pPr>
              <w:pStyle w:val="NoSpacing"/>
              <w:rPr>
                <w:rFonts w:ascii="Arial" w:hAnsi="Arial" w:cs="Arial"/>
              </w:rPr>
            </w:pPr>
          </w:p>
          <w:p w14:paraId="29FB7059" w14:textId="77777777" w:rsidR="00667338" w:rsidRPr="0008676E" w:rsidRDefault="00AB115D" w:rsidP="00AB115D">
            <w:pPr>
              <w:pStyle w:val="NoSpacing"/>
              <w:rPr>
                <w:rFonts w:ascii="Arial" w:hAnsi="Arial" w:cs="Arial"/>
              </w:rPr>
            </w:pPr>
            <w:r w:rsidRPr="0008676E">
              <w:rPr>
                <w:rFonts w:ascii="Arial" w:hAnsi="Arial" w:cs="Arial"/>
                <w:b/>
                <w:bCs/>
              </w:rPr>
              <w:t>Implications</w:t>
            </w:r>
            <w:r w:rsidRPr="0008676E">
              <w:rPr>
                <w:rFonts w:ascii="Arial" w:hAnsi="Arial" w:cs="Arial"/>
              </w:rPr>
              <w:t>: this means that</w:t>
            </w:r>
            <w:r w:rsidR="00667338" w:rsidRPr="0008676E">
              <w:rPr>
                <w:rFonts w:ascii="Arial" w:hAnsi="Arial" w:cs="Arial"/>
              </w:rPr>
              <w:t>:</w:t>
            </w:r>
          </w:p>
          <w:p w14:paraId="5CF8BB20" w14:textId="77777777" w:rsidR="00667338" w:rsidRPr="0008676E" w:rsidRDefault="00AB115D" w:rsidP="00CC112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8676E">
              <w:rPr>
                <w:rFonts w:ascii="Arial" w:hAnsi="Arial" w:cs="Arial"/>
              </w:rPr>
              <w:t>all pupils must study local history at KS2</w:t>
            </w:r>
          </w:p>
          <w:p w14:paraId="044243AC" w14:textId="0ADAD714" w:rsidR="008A05FC" w:rsidRPr="0008676E" w:rsidRDefault="00667338" w:rsidP="00CC112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8676E">
              <w:rPr>
                <w:rFonts w:ascii="Arial" w:hAnsi="Arial" w:cs="Arial"/>
              </w:rPr>
              <w:t>the local history study</w:t>
            </w:r>
            <w:r w:rsidR="00AB115D" w:rsidRPr="0008676E">
              <w:rPr>
                <w:rFonts w:ascii="Arial" w:hAnsi="Arial" w:cs="Arial"/>
              </w:rPr>
              <w:t xml:space="preserve"> can be from any</w:t>
            </w:r>
            <w:r w:rsidR="008A05FC" w:rsidRPr="0008676E">
              <w:rPr>
                <w:rFonts w:ascii="Arial" w:hAnsi="Arial" w:cs="Arial"/>
              </w:rPr>
              <w:t xml:space="preserve"> </w:t>
            </w:r>
            <w:r w:rsidR="00AB115D" w:rsidRPr="0008676E">
              <w:rPr>
                <w:rFonts w:ascii="Arial" w:hAnsi="Arial" w:cs="Arial"/>
              </w:rPr>
              <w:t>time period</w:t>
            </w:r>
            <w:r w:rsidRPr="0008676E">
              <w:rPr>
                <w:rFonts w:ascii="Arial" w:hAnsi="Arial" w:cs="Arial"/>
              </w:rPr>
              <w:t xml:space="preserve"> and it</w:t>
            </w:r>
            <w:r w:rsidR="00AB115D" w:rsidRPr="0008676E">
              <w:rPr>
                <w:rFonts w:ascii="Arial" w:hAnsi="Arial" w:cs="Arial"/>
              </w:rPr>
              <w:t xml:space="preserve"> is not restricted to having to be from before 1066</w:t>
            </w:r>
          </w:p>
          <w:p w14:paraId="09485B6A" w14:textId="77777777" w:rsidR="00CC1129" w:rsidRPr="0008676E" w:rsidRDefault="00CC1129" w:rsidP="00AB115D">
            <w:pPr>
              <w:pStyle w:val="NoSpacing"/>
              <w:rPr>
                <w:rFonts w:ascii="Arial" w:hAnsi="Arial" w:cs="Arial"/>
              </w:rPr>
            </w:pPr>
          </w:p>
          <w:p w14:paraId="4EF74C3F" w14:textId="64F0E9DB" w:rsidR="00AB115D" w:rsidRPr="0008676E" w:rsidRDefault="00AB115D" w:rsidP="00AB115D">
            <w:pPr>
              <w:pStyle w:val="NoSpacing"/>
              <w:rPr>
                <w:rFonts w:ascii="Arial" w:hAnsi="Arial" w:cs="Arial"/>
              </w:rPr>
            </w:pPr>
            <w:r w:rsidRPr="0008676E">
              <w:rPr>
                <w:rFonts w:ascii="Arial" w:hAnsi="Arial" w:cs="Arial"/>
              </w:rPr>
              <w:t>In addition, the programmes</w:t>
            </w:r>
            <w:r w:rsidR="008A05FC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of study provide numerous opportunities for work linked to local history and heritage studies.</w:t>
            </w:r>
            <w:r w:rsidR="008A05FC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The British history requirements cover changes in Britain from the Stone Age to the Iron Age, the</w:t>
            </w:r>
            <w:r w:rsidR="008A05FC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Roman Empire and its impact on Britain, Britain’s settlement by Anglo-Saxons and Scots, and the</w:t>
            </w:r>
            <w:r w:rsidR="008A05FC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Viking and Anglo-Saxon struggle for the Kingdom of England to the time of Edward the Confessor.</w:t>
            </w:r>
            <w:r w:rsidR="008A05FC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Teachers should take every opportunity to make links between the locality and the national story,</w:t>
            </w:r>
            <w:r w:rsidR="008A05FC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and vice versa.</w:t>
            </w:r>
          </w:p>
          <w:p w14:paraId="4681AE1C" w14:textId="0D759160" w:rsidR="00AB115D" w:rsidRPr="005B3B78" w:rsidRDefault="00AB115D" w:rsidP="007F522B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E91D4C1" w14:textId="77777777" w:rsidR="006365D5" w:rsidRPr="0008676E" w:rsidRDefault="006365D5" w:rsidP="007F522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115D" w:rsidRPr="0008676E" w14:paraId="363692CE" w14:textId="77777777" w:rsidTr="005B3B78">
        <w:tc>
          <w:tcPr>
            <w:tcW w:w="10456" w:type="dxa"/>
            <w:shd w:val="clear" w:color="auto" w:fill="99BF71"/>
          </w:tcPr>
          <w:p w14:paraId="30EE04B0" w14:textId="55146253" w:rsidR="00AB115D" w:rsidRPr="0008676E" w:rsidRDefault="00AB115D" w:rsidP="005B3B78">
            <w:pPr>
              <w:pStyle w:val="NoSpacing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8676E">
              <w:rPr>
                <w:rFonts w:ascii="Arial" w:hAnsi="Arial" w:cs="Arial"/>
                <w:b/>
                <w:bCs/>
              </w:rPr>
              <w:t>Key Stage 3</w:t>
            </w:r>
          </w:p>
        </w:tc>
      </w:tr>
      <w:tr w:rsidR="00AB115D" w:rsidRPr="0008676E" w14:paraId="3C83007B" w14:textId="77777777" w:rsidTr="00455C5C">
        <w:tc>
          <w:tcPr>
            <w:tcW w:w="10456" w:type="dxa"/>
          </w:tcPr>
          <w:p w14:paraId="11D763AF" w14:textId="77777777" w:rsidR="006365D5" w:rsidRPr="0008676E" w:rsidRDefault="006365D5" w:rsidP="008A05F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AA54EDA" w14:textId="136E8455" w:rsidR="008A05FC" w:rsidRPr="0008676E" w:rsidRDefault="008A05FC" w:rsidP="008A05FC">
            <w:pPr>
              <w:pStyle w:val="NoSpacing"/>
              <w:rPr>
                <w:rFonts w:ascii="Arial" w:hAnsi="Arial" w:cs="Arial"/>
              </w:rPr>
            </w:pPr>
            <w:r w:rsidRPr="0008676E">
              <w:rPr>
                <w:rFonts w:ascii="Arial" w:hAnsi="Arial" w:cs="Arial"/>
                <w:b/>
                <w:bCs/>
              </w:rPr>
              <w:t>Preamble</w:t>
            </w:r>
            <w:r w:rsidRPr="0008676E">
              <w:rPr>
                <w:rFonts w:ascii="Arial" w:hAnsi="Arial" w:cs="Arial"/>
              </w:rPr>
              <w:t>: the preamble to the subject content at KS3 is explicit on local history. It notes that</w:t>
            </w:r>
            <w:r w:rsidR="00057D91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‘</w:t>
            </w:r>
            <w:r w:rsidRPr="0008676E">
              <w:rPr>
                <w:rFonts w:ascii="Arial" w:hAnsi="Arial" w:cs="Arial"/>
                <w:iCs/>
              </w:rPr>
              <w:t>pupils should extend and deepen their chronologically secure knowledge and understanding</w:t>
            </w:r>
            <w:r w:rsidR="00057D91" w:rsidRPr="0008676E">
              <w:rPr>
                <w:rFonts w:ascii="Arial" w:hAnsi="Arial" w:cs="Arial"/>
                <w:iCs/>
              </w:rPr>
              <w:t xml:space="preserve"> </w:t>
            </w:r>
            <w:r w:rsidRPr="0008676E">
              <w:rPr>
                <w:rFonts w:ascii="Arial" w:hAnsi="Arial" w:cs="Arial"/>
                <w:iCs/>
              </w:rPr>
              <w:t>of British, local and world history, so that it provides a well-informed context for wider learning.</w:t>
            </w:r>
            <w:r w:rsidR="00057D91" w:rsidRPr="0008676E">
              <w:rPr>
                <w:rFonts w:ascii="Arial" w:hAnsi="Arial" w:cs="Arial"/>
                <w:iCs/>
              </w:rPr>
              <w:t xml:space="preserve"> </w:t>
            </w:r>
            <w:r w:rsidRPr="0008676E">
              <w:rPr>
                <w:rFonts w:ascii="Arial" w:hAnsi="Arial" w:cs="Arial"/>
                <w:iCs/>
              </w:rPr>
              <w:t>Pupils should identify significant events, make connections, draw contrasts, and analyse trends</w:t>
            </w:r>
            <w:r w:rsidR="00057D91" w:rsidRPr="0008676E">
              <w:rPr>
                <w:rFonts w:ascii="Arial" w:hAnsi="Arial" w:cs="Arial"/>
                <w:iCs/>
              </w:rPr>
              <w:t xml:space="preserve"> </w:t>
            </w:r>
            <w:r w:rsidRPr="0008676E">
              <w:rPr>
                <w:rFonts w:ascii="Arial" w:hAnsi="Arial" w:cs="Arial"/>
                <w:iCs/>
              </w:rPr>
              <w:t>within periods and over long arcs of time’</w:t>
            </w:r>
            <w:r w:rsidRPr="0008676E">
              <w:rPr>
                <w:rFonts w:ascii="Arial" w:hAnsi="Arial" w:cs="Arial"/>
              </w:rPr>
              <w:t>. In addition, ‘</w:t>
            </w:r>
            <w:r w:rsidRPr="0008676E">
              <w:rPr>
                <w:rFonts w:ascii="Arial" w:hAnsi="Arial" w:cs="Arial"/>
                <w:iCs/>
              </w:rPr>
              <w:t>teachers should combine overview and</w:t>
            </w:r>
            <w:r w:rsidR="00057D91" w:rsidRPr="0008676E">
              <w:rPr>
                <w:rFonts w:ascii="Arial" w:hAnsi="Arial" w:cs="Arial"/>
                <w:iCs/>
              </w:rPr>
              <w:t xml:space="preserve"> </w:t>
            </w:r>
            <w:r w:rsidRPr="0008676E">
              <w:rPr>
                <w:rFonts w:ascii="Arial" w:hAnsi="Arial" w:cs="Arial"/>
                <w:iCs/>
              </w:rPr>
              <w:t>depth studies to help pupils understand both the long arc of development and the complexity of</w:t>
            </w:r>
            <w:r w:rsidR="00057D91" w:rsidRPr="0008676E">
              <w:rPr>
                <w:rFonts w:ascii="Arial" w:hAnsi="Arial" w:cs="Arial"/>
                <w:iCs/>
              </w:rPr>
              <w:t xml:space="preserve"> </w:t>
            </w:r>
            <w:r w:rsidRPr="0008676E">
              <w:rPr>
                <w:rFonts w:ascii="Arial" w:hAnsi="Arial" w:cs="Arial"/>
                <w:iCs/>
              </w:rPr>
              <w:t>specific aspects of the content’ by planning to ensure progression ‘through teaching the British,</w:t>
            </w:r>
            <w:r w:rsidR="00057D91" w:rsidRPr="0008676E">
              <w:rPr>
                <w:rFonts w:ascii="Arial" w:hAnsi="Arial" w:cs="Arial"/>
                <w:iCs/>
              </w:rPr>
              <w:t xml:space="preserve"> </w:t>
            </w:r>
            <w:r w:rsidRPr="0008676E">
              <w:rPr>
                <w:rFonts w:ascii="Arial" w:hAnsi="Arial" w:cs="Arial"/>
                <w:iCs/>
              </w:rPr>
              <w:t>local and world history’</w:t>
            </w:r>
            <w:r w:rsidRPr="0008676E">
              <w:rPr>
                <w:rFonts w:ascii="Arial" w:hAnsi="Arial" w:cs="Arial"/>
              </w:rPr>
              <w:t>.</w:t>
            </w:r>
          </w:p>
          <w:p w14:paraId="708E6B85" w14:textId="77777777" w:rsidR="00057D91" w:rsidRPr="0008676E" w:rsidRDefault="00057D91" w:rsidP="008A05FC">
            <w:pPr>
              <w:pStyle w:val="NoSpacing"/>
              <w:rPr>
                <w:rFonts w:ascii="Arial" w:hAnsi="Arial" w:cs="Arial"/>
              </w:rPr>
            </w:pPr>
          </w:p>
          <w:p w14:paraId="342A710B" w14:textId="741A5C2F" w:rsidR="008A05FC" w:rsidRPr="0008676E" w:rsidRDefault="008A05FC" w:rsidP="008A05FC">
            <w:pPr>
              <w:pStyle w:val="NoSpacing"/>
              <w:rPr>
                <w:rFonts w:ascii="Arial" w:hAnsi="Arial" w:cs="Arial"/>
              </w:rPr>
            </w:pPr>
            <w:r w:rsidRPr="0008676E">
              <w:rPr>
                <w:rFonts w:ascii="Arial" w:hAnsi="Arial" w:cs="Arial"/>
                <w:b/>
                <w:bCs/>
              </w:rPr>
              <w:t>Subject content:</w:t>
            </w:r>
            <w:r w:rsidRPr="0008676E">
              <w:rPr>
                <w:rFonts w:ascii="Arial" w:hAnsi="Arial" w:cs="Arial"/>
              </w:rPr>
              <w:t xml:space="preserve"> the content at KS3 is organised into seven bullet points. The first four focus on</w:t>
            </w:r>
            <w:r w:rsidR="004000D0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the British history to be taught from 1066 to the present day, one looks at a study of an aspect</w:t>
            </w:r>
            <w:r w:rsidR="004000D0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or theme in British history that consolidates and extends pupils’ chronological knowledge from</w:t>
            </w:r>
            <w:r w:rsidR="004000D0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before 1066, and one is concerned with world history. There is one bullet point exclusively focused</w:t>
            </w:r>
            <w:r w:rsidR="004000D0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on local history. The NC notes that pupils should be taught ‘a local history study’.</w:t>
            </w:r>
            <w:r w:rsidR="004000D0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This requirement is followed by three examples, each of which is non-statutory. The three</w:t>
            </w:r>
            <w:r w:rsidR="004000D0" w:rsidRPr="0008676E">
              <w:rPr>
                <w:rFonts w:ascii="Arial" w:hAnsi="Arial" w:cs="Arial"/>
              </w:rPr>
              <w:t xml:space="preserve"> </w:t>
            </w:r>
            <w:r w:rsidRPr="0008676E">
              <w:rPr>
                <w:rFonts w:ascii="Arial" w:hAnsi="Arial" w:cs="Arial"/>
              </w:rPr>
              <w:t>suggestions are:</w:t>
            </w:r>
          </w:p>
          <w:p w14:paraId="1C0C26C3" w14:textId="77777777" w:rsidR="004000D0" w:rsidRPr="0008676E" w:rsidRDefault="008A05FC" w:rsidP="005A533B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iCs/>
              </w:rPr>
            </w:pPr>
            <w:r w:rsidRPr="0008676E">
              <w:rPr>
                <w:rFonts w:ascii="Arial" w:hAnsi="Arial" w:cs="Arial"/>
                <w:iCs/>
              </w:rPr>
              <w:t>a depth study linked to one of the British areas of study listed in the NC</w:t>
            </w:r>
          </w:p>
          <w:p w14:paraId="70C6ECEE" w14:textId="210FA240" w:rsidR="008A05FC" w:rsidRPr="0008676E" w:rsidRDefault="008A05FC" w:rsidP="005A533B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iCs/>
              </w:rPr>
            </w:pPr>
            <w:r w:rsidRPr="0008676E">
              <w:rPr>
                <w:rFonts w:ascii="Arial" w:hAnsi="Arial" w:cs="Arial"/>
                <w:iCs/>
              </w:rPr>
              <w:t>a study over time, testing how far sites in their locality reflect aspects of national history</w:t>
            </w:r>
            <w:r w:rsidR="004000D0" w:rsidRPr="0008676E">
              <w:rPr>
                <w:rFonts w:ascii="Arial" w:hAnsi="Arial" w:cs="Arial"/>
                <w:iCs/>
              </w:rPr>
              <w:t xml:space="preserve"> </w:t>
            </w:r>
            <w:r w:rsidRPr="0008676E">
              <w:rPr>
                <w:rFonts w:ascii="Arial" w:hAnsi="Arial" w:cs="Arial"/>
                <w:iCs/>
              </w:rPr>
              <w:t>(some sites may predate 1066)</w:t>
            </w:r>
          </w:p>
          <w:p w14:paraId="1A7C605F" w14:textId="1F2158C1" w:rsidR="008A05FC" w:rsidRPr="0008676E" w:rsidRDefault="008A05FC" w:rsidP="005A533B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iCs/>
              </w:rPr>
            </w:pPr>
            <w:r w:rsidRPr="0008676E">
              <w:rPr>
                <w:rFonts w:ascii="Arial" w:hAnsi="Arial" w:cs="Arial"/>
                <w:iCs/>
              </w:rPr>
              <w:t>a study of an aspect or site in local history d</w:t>
            </w:r>
            <w:r w:rsidR="0008676E">
              <w:rPr>
                <w:rFonts w:ascii="Arial" w:hAnsi="Arial" w:cs="Arial"/>
                <w:iCs/>
              </w:rPr>
              <w:t>ating from a period before 1066</w:t>
            </w:r>
          </w:p>
          <w:p w14:paraId="41C0A6E7" w14:textId="77777777" w:rsidR="004000D0" w:rsidRPr="0008676E" w:rsidRDefault="004000D0" w:rsidP="008A05FC">
            <w:pPr>
              <w:pStyle w:val="NoSpacing"/>
              <w:rPr>
                <w:rFonts w:ascii="Arial" w:hAnsi="Arial" w:cs="Arial"/>
              </w:rPr>
            </w:pPr>
          </w:p>
          <w:p w14:paraId="3089E45F" w14:textId="78E9F09D" w:rsidR="008A05FC" w:rsidRPr="0008676E" w:rsidRDefault="008A05FC" w:rsidP="008A05FC">
            <w:pPr>
              <w:pStyle w:val="NoSpacing"/>
              <w:rPr>
                <w:rFonts w:ascii="Arial" w:hAnsi="Arial" w:cs="Arial"/>
              </w:rPr>
            </w:pPr>
            <w:r w:rsidRPr="0008676E">
              <w:rPr>
                <w:rFonts w:ascii="Arial" w:hAnsi="Arial" w:cs="Arial"/>
                <w:b/>
                <w:bCs/>
              </w:rPr>
              <w:t>Implications</w:t>
            </w:r>
            <w:r w:rsidRPr="0008676E">
              <w:rPr>
                <w:rFonts w:ascii="Arial" w:hAnsi="Arial" w:cs="Arial"/>
              </w:rPr>
              <w:t>: as at KS2, this means that:</w:t>
            </w:r>
          </w:p>
          <w:p w14:paraId="350ACB68" w14:textId="0F5EA75C" w:rsidR="008A05FC" w:rsidRPr="0008676E" w:rsidRDefault="008A05FC" w:rsidP="00B51B79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8676E">
              <w:rPr>
                <w:rFonts w:ascii="Arial" w:hAnsi="Arial" w:cs="Arial"/>
              </w:rPr>
              <w:t>all pupils must study local history at KS3</w:t>
            </w:r>
          </w:p>
          <w:p w14:paraId="7A2A25C7" w14:textId="219CBC9F" w:rsidR="008A05FC" w:rsidRPr="0008676E" w:rsidRDefault="008A05FC" w:rsidP="00B51B79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8676E">
              <w:rPr>
                <w:rFonts w:ascii="Arial" w:hAnsi="Arial" w:cs="Arial"/>
              </w:rPr>
              <w:t xml:space="preserve">the local history </w:t>
            </w:r>
            <w:r w:rsidR="006365D5" w:rsidRPr="0008676E">
              <w:rPr>
                <w:rFonts w:ascii="Arial" w:hAnsi="Arial" w:cs="Arial"/>
              </w:rPr>
              <w:t>study c</w:t>
            </w:r>
            <w:r w:rsidRPr="0008676E">
              <w:rPr>
                <w:rFonts w:ascii="Arial" w:hAnsi="Arial" w:cs="Arial"/>
              </w:rPr>
              <w:t>an be from any time period</w:t>
            </w:r>
            <w:r w:rsidR="006365D5" w:rsidRPr="0008676E">
              <w:rPr>
                <w:rFonts w:ascii="Arial" w:hAnsi="Arial" w:cs="Arial"/>
              </w:rPr>
              <w:t xml:space="preserve"> and it is not restricted to being from after 1066</w:t>
            </w:r>
          </w:p>
          <w:p w14:paraId="0B825795" w14:textId="6077D134" w:rsidR="00AB115D" w:rsidRPr="0008676E" w:rsidRDefault="008A05FC" w:rsidP="00B51B79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8676E">
              <w:rPr>
                <w:rFonts w:ascii="Arial" w:hAnsi="Arial" w:cs="Arial"/>
              </w:rPr>
              <w:t>teachers should take every opportunity to</w:t>
            </w:r>
            <w:r w:rsidR="004000D0" w:rsidRPr="0008676E">
              <w:rPr>
                <w:rFonts w:ascii="Arial" w:hAnsi="Arial" w:cs="Arial"/>
              </w:rPr>
              <w:t xml:space="preserve"> make links between local history, and national</w:t>
            </w:r>
            <w:r w:rsidR="005A533B" w:rsidRPr="0008676E">
              <w:rPr>
                <w:rFonts w:ascii="Arial" w:hAnsi="Arial" w:cs="Arial"/>
              </w:rPr>
              <w:t xml:space="preserve"> </w:t>
            </w:r>
            <w:r w:rsidR="004000D0" w:rsidRPr="0008676E">
              <w:rPr>
                <w:rFonts w:ascii="Arial" w:hAnsi="Arial" w:cs="Arial"/>
              </w:rPr>
              <w:t>and intern</w:t>
            </w:r>
            <w:r w:rsidR="0008676E">
              <w:rPr>
                <w:rFonts w:ascii="Arial" w:hAnsi="Arial" w:cs="Arial"/>
              </w:rPr>
              <w:t>ational history, and vice versa</w:t>
            </w:r>
          </w:p>
          <w:p w14:paraId="66AAAB85" w14:textId="2266B81C" w:rsidR="00AB115D" w:rsidRPr="005B3B78" w:rsidRDefault="00AB115D" w:rsidP="00455C5C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50CF7A8" w14:textId="6D83C144" w:rsidR="00563CBE" w:rsidRPr="005B3B78" w:rsidRDefault="00563CBE" w:rsidP="00185E16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704"/>
        <w:gridCol w:w="9752"/>
      </w:tblGrid>
      <w:tr w:rsidR="000128C0" w:rsidRPr="0008676E" w14:paraId="794F4FDB" w14:textId="77777777" w:rsidTr="005B3B78">
        <w:tc>
          <w:tcPr>
            <w:tcW w:w="704" w:type="dxa"/>
            <w:shd w:val="clear" w:color="auto" w:fill="auto"/>
          </w:tcPr>
          <w:p w14:paraId="1E8097F1" w14:textId="7FE1F4A7" w:rsidR="000128C0" w:rsidRPr="0008676E" w:rsidRDefault="005B3B78" w:rsidP="000128C0">
            <w:pPr>
              <w:pStyle w:val="NoSpacing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1A73AA0C" wp14:editId="5D7357B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22225</wp:posOffset>
                  </wp:positionV>
                  <wp:extent cx="415290" cy="491052"/>
                  <wp:effectExtent l="0" t="0" r="3810" b="4445"/>
                  <wp:wrapNone/>
                  <wp:docPr id="9" name="Picture 9" descr="Free Light Bulb Clipart Pictures - Uncategorized | Art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Light Bulb Clipart Pictures - Uncategorized | Art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49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52" w:type="dxa"/>
            <w:shd w:val="clear" w:color="auto" w:fill="F5B6CD"/>
          </w:tcPr>
          <w:p w14:paraId="48EAF895" w14:textId="1D772DFF" w:rsidR="000128C0" w:rsidRPr="0008676E" w:rsidRDefault="00C96C66" w:rsidP="0008676E">
            <w:pPr>
              <w:pStyle w:val="NoSpacing"/>
              <w:spacing w:before="160" w:after="160" w:line="320" w:lineRule="exact"/>
              <w:rPr>
                <w:rFonts w:ascii="Arial" w:hAnsi="Arial" w:cs="Arial"/>
                <w:b/>
                <w:bCs/>
              </w:rPr>
            </w:pPr>
            <w:r w:rsidRPr="0008676E">
              <w:rPr>
                <w:rFonts w:ascii="Arial" w:hAnsi="Arial" w:cs="Arial"/>
                <w:b/>
                <w:bCs/>
              </w:rPr>
              <w:t>N</w:t>
            </w:r>
            <w:r w:rsidR="000128C0" w:rsidRPr="0008676E">
              <w:rPr>
                <w:rFonts w:ascii="Arial" w:hAnsi="Arial" w:cs="Arial"/>
                <w:b/>
                <w:bCs/>
              </w:rPr>
              <w:t xml:space="preserve">ever miss an opportunity to </w:t>
            </w:r>
            <w:r w:rsidR="0008676E">
              <w:rPr>
                <w:rFonts w:ascii="Arial" w:hAnsi="Arial" w:cs="Arial"/>
                <w:b/>
                <w:bCs/>
              </w:rPr>
              <w:t xml:space="preserve">study the local </w:t>
            </w:r>
            <w:r w:rsidR="0008253A" w:rsidRPr="0008676E">
              <w:rPr>
                <w:rFonts w:ascii="Arial" w:hAnsi="Arial" w:cs="Arial"/>
                <w:b/>
                <w:bCs/>
              </w:rPr>
              <w:t xml:space="preserve">and </w:t>
            </w:r>
            <w:r w:rsidR="005F7ACB" w:rsidRPr="0008676E">
              <w:rPr>
                <w:rFonts w:ascii="Arial" w:hAnsi="Arial" w:cs="Arial"/>
                <w:b/>
                <w:bCs/>
              </w:rPr>
              <w:t xml:space="preserve">explore </w:t>
            </w:r>
            <w:r w:rsidR="000128C0" w:rsidRPr="0008676E">
              <w:rPr>
                <w:rFonts w:ascii="Arial" w:hAnsi="Arial" w:cs="Arial"/>
                <w:b/>
                <w:bCs/>
              </w:rPr>
              <w:t>the link</w:t>
            </w:r>
            <w:r w:rsidR="0008253A" w:rsidRPr="0008676E">
              <w:rPr>
                <w:rFonts w:ascii="Arial" w:hAnsi="Arial" w:cs="Arial"/>
                <w:b/>
                <w:bCs/>
              </w:rPr>
              <w:t>s between the local, the national and the global</w:t>
            </w:r>
            <w:r w:rsidR="000128C0" w:rsidRPr="0008676E">
              <w:rPr>
                <w:rFonts w:ascii="Arial" w:hAnsi="Arial" w:cs="Arial"/>
                <w:b/>
                <w:bCs/>
              </w:rPr>
              <w:t>!</w:t>
            </w:r>
          </w:p>
        </w:tc>
      </w:tr>
    </w:tbl>
    <w:p w14:paraId="564A8103" w14:textId="77777777" w:rsidR="00185E16" w:rsidRPr="0008676E" w:rsidRDefault="00185E16" w:rsidP="00185E16">
      <w:pPr>
        <w:pStyle w:val="NoSpacing"/>
        <w:rPr>
          <w:rFonts w:ascii="Arial" w:hAnsi="Arial" w:cs="Arial"/>
        </w:rPr>
      </w:pPr>
    </w:p>
    <w:sectPr w:rsidR="00185E16" w:rsidRPr="0008676E" w:rsidSect="00087C4C">
      <w:pgSz w:w="11906" w:h="16838"/>
      <w:pgMar w:top="426" w:right="720" w:bottom="720" w:left="72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808BE" w14:textId="77777777" w:rsidR="001047B3" w:rsidRDefault="001047B3" w:rsidP="00F8759C">
      <w:pPr>
        <w:spacing w:after="0" w:line="240" w:lineRule="auto"/>
      </w:pPr>
      <w:r>
        <w:separator/>
      </w:r>
    </w:p>
  </w:endnote>
  <w:endnote w:type="continuationSeparator" w:id="0">
    <w:p w14:paraId="2F190E52" w14:textId="77777777" w:rsidR="001047B3" w:rsidRDefault="001047B3" w:rsidP="00F8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5110C" w14:textId="77777777" w:rsidR="001047B3" w:rsidRDefault="001047B3" w:rsidP="00F8759C">
      <w:pPr>
        <w:spacing w:after="0" w:line="240" w:lineRule="auto"/>
      </w:pPr>
      <w:r>
        <w:separator/>
      </w:r>
    </w:p>
  </w:footnote>
  <w:footnote w:type="continuationSeparator" w:id="0">
    <w:p w14:paraId="53565119" w14:textId="77777777" w:rsidR="001047B3" w:rsidRDefault="001047B3" w:rsidP="00F87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22A"/>
    <w:multiLevelType w:val="hybridMultilevel"/>
    <w:tmpl w:val="DB840C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617A7E"/>
    <w:multiLevelType w:val="hybridMultilevel"/>
    <w:tmpl w:val="1B784F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F042D8"/>
    <w:multiLevelType w:val="hybridMultilevel"/>
    <w:tmpl w:val="194009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FD25F0"/>
    <w:multiLevelType w:val="hybridMultilevel"/>
    <w:tmpl w:val="5178BD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9D21F6B"/>
    <w:multiLevelType w:val="hybridMultilevel"/>
    <w:tmpl w:val="FA16EA5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614270D5"/>
    <w:multiLevelType w:val="hybridMultilevel"/>
    <w:tmpl w:val="F5C645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58"/>
    <w:rsid w:val="000128C0"/>
    <w:rsid w:val="0004435D"/>
    <w:rsid w:val="00057D91"/>
    <w:rsid w:val="0008253A"/>
    <w:rsid w:val="0008676E"/>
    <w:rsid w:val="00087C4C"/>
    <w:rsid w:val="000A25F8"/>
    <w:rsid w:val="001047B3"/>
    <w:rsid w:val="00185E16"/>
    <w:rsid w:val="002305CC"/>
    <w:rsid w:val="00246F6F"/>
    <w:rsid w:val="0025300C"/>
    <w:rsid w:val="00267AA1"/>
    <w:rsid w:val="00272FCF"/>
    <w:rsid w:val="00337A26"/>
    <w:rsid w:val="0036419F"/>
    <w:rsid w:val="003B5160"/>
    <w:rsid w:val="003D238D"/>
    <w:rsid w:val="004000D0"/>
    <w:rsid w:val="004635B3"/>
    <w:rsid w:val="004A3140"/>
    <w:rsid w:val="004E0096"/>
    <w:rsid w:val="00501D79"/>
    <w:rsid w:val="005035E9"/>
    <w:rsid w:val="00514C41"/>
    <w:rsid w:val="00563CBE"/>
    <w:rsid w:val="005717FD"/>
    <w:rsid w:val="005A533B"/>
    <w:rsid w:val="005A57B7"/>
    <w:rsid w:val="005B3B78"/>
    <w:rsid w:val="005F7ACB"/>
    <w:rsid w:val="006365D5"/>
    <w:rsid w:val="00667338"/>
    <w:rsid w:val="006720F4"/>
    <w:rsid w:val="006775E1"/>
    <w:rsid w:val="006C6208"/>
    <w:rsid w:val="00717057"/>
    <w:rsid w:val="00731335"/>
    <w:rsid w:val="00750543"/>
    <w:rsid w:val="0075327F"/>
    <w:rsid w:val="007C2A55"/>
    <w:rsid w:val="007F522B"/>
    <w:rsid w:val="00817074"/>
    <w:rsid w:val="008A05FC"/>
    <w:rsid w:val="008A5374"/>
    <w:rsid w:val="00921202"/>
    <w:rsid w:val="00943CFF"/>
    <w:rsid w:val="0099221E"/>
    <w:rsid w:val="009B45E2"/>
    <w:rsid w:val="00AB115D"/>
    <w:rsid w:val="00AB41A3"/>
    <w:rsid w:val="00B131F3"/>
    <w:rsid w:val="00B25FA9"/>
    <w:rsid w:val="00B36D1E"/>
    <w:rsid w:val="00B51B79"/>
    <w:rsid w:val="00BF41FB"/>
    <w:rsid w:val="00C06483"/>
    <w:rsid w:val="00C771BE"/>
    <w:rsid w:val="00C96C66"/>
    <w:rsid w:val="00CA4280"/>
    <w:rsid w:val="00CC1129"/>
    <w:rsid w:val="00CE21BB"/>
    <w:rsid w:val="00D172DB"/>
    <w:rsid w:val="00D5377F"/>
    <w:rsid w:val="00D8294F"/>
    <w:rsid w:val="00DA6B9E"/>
    <w:rsid w:val="00E46EDD"/>
    <w:rsid w:val="00EB3158"/>
    <w:rsid w:val="00F7495C"/>
    <w:rsid w:val="00F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A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2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7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59C"/>
  </w:style>
  <w:style w:type="paragraph" w:styleId="Footer">
    <w:name w:val="footer"/>
    <w:basedOn w:val="Normal"/>
    <w:link w:val="FooterChar"/>
    <w:uiPriority w:val="99"/>
    <w:unhideWhenUsed/>
    <w:rsid w:val="00F87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59C"/>
  </w:style>
  <w:style w:type="table" w:styleId="TableGrid">
    <w:name w:val="Table Grid"/>
    <w:basedOn w:val="TableNormal"/>
    <w:uiPriority w:val="39"/>
    <w:rsid w:val="00F7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2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7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59C"/>
  </w:style>
  <w:style w:type="paragraph" w:styleId="Footer">
    <w:name w:val="footer"/>
    <w:basedOn w:val="Normal"/>
    <w:link w:val="FooterChar"/>
    <w:uiPriority w:val="99"/>
    <w:unhideWhenUsed/>
    <w:rsid w:val="00F87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59C"/>
  </w:style>
  <w:style w:type="table" w:styleId="TableGrid">
    <w:name w:val="Table Grid"/>
    <w:basedOn w:val="TableNormal"/>
    <w:uiPriority w:val="39"/>
    <w:rsid w:val="00F7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Maddison</dc:creator>
  <cp:lastModifiedBy>McHarg, Catherine</cp:lastModifiedBy>
  <cp:revision>2</cp:revision>
  <dcterms:created xsi:type="dcterms:W3CDTF">2020-07-02T15:59:00Z</dcterms:created>
  <dcterms:modified xsi:type="dcterms:W3CDTF">2020-07-02T15:59:00Z</dcterms:modified>
</cp:coreProperties>
</file>